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left="-199" w:leftChars="-95" w:firstLine="720" w:firstLineChars="200"/>
        <w:jc w:val="center"/>
        <w:textAlignment w:val="auto"/>
        <w:rPr>
          <w:rFonts w:hint="eastAsia" w:ascii="方正仿宋_GBK" w:hAnsi="新宋体" w:eastAsia="方正仿宋_GBK"/>
          <w:sz w:val="30"/>
          <w:szCs w:val="30"/>
          <w:highlight w:val="none"/>
          <w:lang w:val="en-US" w:eastAsia="zh-CN"/>
        </w:rPr>
      </w:pPr>
      <w:r>
        <w:rPr>
          <w:rFonts w:hint="eastAsia" w:ascii="方正仿宋_GBK" w:hAnsi="新宋体" w:eastAsia="方正仿宋_GBK"/>
          <w:sz w:val="36"/>
          <w:szCs w:val="36"/>
          <w:lang w:val="en-US" w:eastAsia="zh-CN"/>
        </w:rPr>
        <w:t>关于</w:t>
      </w:r>
      <w:r>
        <w:rPr>
          <w:rFonts w:hint="eastAsia" w:ascii="方正仿宋_GBK" w:hAnsi="新宋体" w:eastAsia="方正仿宋_GBK"/>
          <w:sz w:val="36"/>
          <w:szCs w:val="36"/>
          <w:lang w:val="en-US" w:eastAsia="zh-CN"/>
        </w:rPr>
        <w:t>潼南南区污水处理厂二期扩建工程高压配电及电源外线工程清单编制说明</w:t>
      </w:r>
    </w:p>
    <w:p>
      <w:pPr>
        <w:pStyle w:val="4"/>
        <w:keepNext w:val="0"/>
        <w:keepLines w:val="0"/>
        <w:widowControl/>
        <w:suppressLineNumbers w:val="0"/>
        <w:spacing w:before="0" w:beforeAutospacing="0" w:after="0" w:afterAutospacing="0"/>
        <w:ind w:left="0" w:right="0" w:firstLine="0"/>
        <w:jc w:val="cente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sz w:val="30"/>
          <w:szCs w:val="30"/>
          <w:highlight w:val="none"/>
          <w:lang w:eastAsia="zh-CN"/>
        </w:rPr>
        <w:t>（</w:t>
      </w:r>
      <w:r>
        <w:rPr>
          <w:rFonts w:hint="eastAsia" w:ascii="方正仿宋_GBK" w:hAnsi="新宋体" w:eastAsia="方正仿宋_GBK"/>
          <w:sz w:val="30"/>
          <w:szCs w:val="30"/>
          <w:highlight w:val="none"/>
          <w:lang w:val="en-US" w:eastAsia="zh-CN"/>
        </w:rPr>
        <w:t>1）</w:t>
      </w:r>
      <w:r>
        <w:rPr>
          <w:rFonts w:hint="eastAsia" w:ascii="方正仿宋_GBK" w:hAnsi="新宋体" w:eastAsia="方正仿宋_GBK" w:cstheme="minorBidi"/>
          <w:kern w:val="2"/>
          <w:sz w:val="30"/>
          <w:szCs w:val="30"/>
          <w:highlight w:val="none"/>
          <w:lang w:val="en-US" w:eastAsia="zh-CN" w:bidi="ar-SA"/>
        </w:rPr>
        <w:t>本工程土石方不分土、石方比例（包括淤泥、腐值土、树根、草根、生活垃圾、建筑垃圾、拆除部分及清表处理等）和开挖方式、开挖顺序、开挖深度及运输方式等综合考虑列项，土石成分的划分由投标人根据设计图纸、地勘资料及现场实际情况等综合测算并报价，投标人中标后不得以土石成分变化和开挖方式等变化提出变更单价要求。</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00" w:firstLineChars="200"/>
        <w:textAlignment w:val="auto"/>
        <w:rPr>
          <w:rFonts w:hint="default"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（2）本工程涉及的土石方场内临时堆放及多次转运，投标人应根据施工方案和现场实际情况自行考虑，费用包含在相应的土石方开挖清单综合单价中,不另计。</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（3）本工程砼均采用商品砼。</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（4）本工程余方弃置由投标人自行踏勘现场，自行考虑，综合报价，以后按此单价结算不作调整。</w:t>
      </w:r>
    </w:p>
    <w:p>
      <w:pPr>
        <w:keepNext w:val="0"/>
        <w:keepLines w:val="0"/>
        <w:pageBreakBefore w:val="0"/>
        <w:widowControl/>
        <w:kinsoku/>
        <w:wordWrap/>
        <w:overflowPunct/>
        <w:topLinePunct w:val="0"/>
        <w:autoSpaceDE/>
        <w:autoSpaceDN/>
        <w:bidi w:val="0"/>
        <w:adjustRightInd/>
        <w:snapToGrid/>
        <w:spacing w:line="360" w:lineRule="auto"/>
        <w:ind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（5）投标人对用于本工程的各类装备的提供、运输、维护、拆卸、拼装及二次转运等支付的费用，已包括在工程量清单的单价与总价之中。</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right="0" w:rightChars="0"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6）除非合同另有规定，工程量清单中有标价的单价和总额均已包括了为实施和完成工程所需的劳务、材料、机械、质检(自检)、安装、缺陷修复、管理、投标人承担的保险、税费、利润等费用，以及合同明示或暗示的所有责任、义务和一般风险。</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right="0" w:rightChars="0"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（7）规费：投标人按国家及重庆市有关规定报价，结算时若报价费率高于有关规定费率，则按有关规定费率结算；若报价费率低于有关规定费率，则按报价费率结算。</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right="0" w:rightChars="0"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（8）税金：投标人按《重庆市城乡建设委员会关于适用增值税新税率调整建设工程计价依据的通知》（渝建[2019]143号）有关规定报价，结算时税率不作调整（除税率政策有调整外）。</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 xml:space="preserve">  （9）施工组织措施项目清单：投标人在投标报价时应按照招标人给出的施工组织措施项目清单并结合本工程的实际情况和国家及重庆市相关管理规定自行报价。招标人未给出的施工组织措施项目清单而投标人认为需发生的组织措施项目由投保人综合测算纳入各分部分项清单的报价之中，结算时不额外增加施工组织措施项目清单，亦不额外支付费用（除安全文明施工费外）</w:t>
      </w:r>
    </w:p>
    <w:p>
      <w:pPr>
        <w:keepNext w:val="0"/>
        <w:keepLines w:val="0"/>
        <w:pageBreakBefore w:val="0"/>
        <w:widowControl/>
        <w:kinsoku/>
        <w:wordWrap/>
        <w:overflowPunct/>
        <w:topLinePunct w:val="0"/>
        <w:autoSpaceDE/>
        <w:autoSpaceDN/>
        <w:bidi w:val="0"/>
        <w:adjustRightInd/>
        <w:snapToGrid/>
        <w:spacing w:line="360" w:lineRule="auto"/>
        <w:ind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（10）施工技术措施项目清单：</w:t>
      </w:r>
    </w:p>
    <w:p>
      <w:pPr>
        <w:keepNext w:val="0"/>
        <w:keepLines w:val="0"/>
        <w:pageBreakBefore w:val="0"/>
        <w:widowControl/>
        <w:kinsoku/>
        <w:wordWrap/>
        <w:overflowPunct/>
        <w:topLinePunct w:val="0"/>
        <w:autoSpaceDE/>
        <w:autoSpaceDN/>
        <w:bidi w:val="0"/>
        <w:adjustRightInd/>
        <w:snapToGrid/>
        <w:spacing w:line="360" w:lineRule="auto"/>
        <w:ind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1、技术措施清单由投标人根据现场踏勘情况及本工程的实际情况结合自身施工组织设计自行报价，包干使用。除因工程变更引起施工方案改变使措施项目发生变化的，承包人提出调整措施项目费的，参照施工合同相关条款执行。</w:t>
      </w:r>
    </w:p>
    <w:p>
      <w:pPr>
        <w:keepNext w:val="0"/>
        <w:keepLines w:val="0"/>
        <w:pageBreakBefore w:val="0"/>
        <w:widowControl/>
        <w:kinsoku/>
        <w:wordWrap/>
        <w:overflowPunct/>
        <w:topLinePunct w:val="0"/>
        <w:autoSpaceDE/>
        <w:autoSpaceDN/>
        <w:bidi w:val="0"/>
        <w:adjustRightInd/>
        <w:snapToGrid/>
        <w:spacing w:line="360" w:lineRule="auto"/>
        <w:ind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2、技术措施清单中以项目编码、项目名称、项目特征、工程内容、工程量及计量单位列项的项目，投标人必须按招标人给出的施工技术措施项目清单进行报价，不得擅自变改招标人提供的施工技术措施项目清单中的序号、项目编码、项目名称、项目特征、工程内容、工程量及计量单位，否则视为对招标文件不作实质性响应，若评标过程中电子评标系统未识别为废标，招标人在签订合同前发现的，将作废标处理，在签订合同后发现的，该项视为投标人报价为零，不予计量计价，若投标人另立名目进行主张，招标人将在投标人低价保证金或履约保证金中扣除相应款项。</w:t>
      </w:r>
    </w:p>
    <w:p>
      <w:pPr>
        <w:keepNext w:val="0"/>
        <w:keepLines w:val="0"/>
        <w:pageBreakBefore w:val="0"/>
        <w:widowControl/>
        <w:kinsoku/>
        <w:wordWrap/>
        <w:overflowPunct/>
        <w:topLinePunct w:val="0"/>
        <w:autoSpaceDE/>
        <w:autoSpaceDN/>
        <w:bidi w:val="0"/>
        <w:adjustRightInd/>
        <w:snapToGrid/>
        <w:spacing w:line="360" w:lineRule="auto"/>
        <w:ind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3、除招标人给出的施工技术措施项目清单外，投标人在投标报价时可根据自身施工组织设计并结合本工程的实际情况和国家及重庆市相关管理规定自行增加技术措施项目，并由投标人自行综合考虑在对应单位工程中列出新增加技术措施费用的名称、计量单位、工程量及报价等详细内容。若投标人未报出报价明细招，则视为已包含在分部分项清单和其余措施费清单中。</w:t>
      </w:r>
    </w:p>
    <w:p>
      <w:pPr>
        <w:keepNext w:val="0"/>
        <w:keepLines w:val="0"/>
        <w:pageBreakBefore w:val="0"/>
        <w:widowControl/>
        <w:kinsoku/>
        <w:wordWrap/>
        <w:overflowPunct/>
        <w:topLinePunct w:val="0"/>
        <w:autoSpaceDE/>
        <w:autoSpaceDN/>
        <w:bidi w:val="0"/>
        <w:adjustRightInd/>
        <w:snapToGrid/>
        <w:spacing w:line="360" w:lineRule="auto"/>
        <w:ind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（11）投标人应将完成该工程发生的所有措施费用纳入投标报价，包括但不限于以下措施费：</w:t>
      </w:r>
    </w:p>
    <w:p>
      <w:pPr>
        <w:keepNext w:val="0"/>
        <w:keepLines w:val="0"/>
        <w:pageBreakBefore w:val="0"/>
        <w:widowControl/>
        <w:kinsoku/>
        <w:wordWrap/>
        <w:overflowPunct/>
        <w:topLinePunct w:val="0"/>
        <w:autoSpaceDE/>
        <w:autoSpaceDN/>
        <w:bidi w:val="0"/>
        <w:adjustRightInd/>
        <w:snapToGrid/>
        <w:spacing w:line="360" w:lineRule="auto"/>
        <w:ind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1、承包人为完成承包内容，按照国家现行有关建筑工程规范、规程要求，为保证工程质量、安全、工期、环保等各种因素必须采取的特殊措施以及配套完成的工作内容所需的费用；</w:t>
      </w:r>
    </w:p>
    <w:p>
      <w:pPr>
        <w:keepNext w:val="0"/>
        <w:keepLines w:val="0"/>
        <w:pageBreakBefore w:val="0"/>
        <w:widowControl/>
        <w:kinsoku/>
        <w:wordWrap/>
        <w:overflowPunct/>
        <w:topLinePunct w:val="0"/>
        <w:autoSpaceDE/>
        <w:autoSpaceDN/>
        <w:bidi w:val="0"/>
        <w:adjustRightInd/>
        <w:snapToGrid/>
        <w:spacing w:line="360" w:lineRule="auto"/>
        <w:ind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2、临时设施等用地费用；</w:t>
      </w:r>
    </w:p>
    <w:p>
      <w:pPr>
        <w:keepNext w:val="0"/>
        <w:keepLines w:val="0"/>
        <w:pageBreakBefore w:val="0"/>
        <w:widowControl/>
        <w:kinsoku/>
        <w:wordWrap/>
        <w:overflowPunct/>
        <w:topLinePunct w:val="0"/>
        <w:autoSpaceDE/>
        <w:autoSpaceDN/>
        <w:bidi w:val="0"/>
        <w:adjustRightInd/>
        <w:snapToGrid/>
        <w:spacing w:line="360" w:lineRule="auto"/>
        <w:ind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3、承包人在进场后生产生活及临时用水、用电的费用；</w:t>
      </w:r>
    </w:p>
    <w:p>
      <w:pPr>
        <w:keepNext w:val="0"/>
        <w:keepLines w:val="0"/>
        <w:pageBreakBefore w:val="0"/>
        <w:widowControl/>
        <w:kinsoku/>
        <w:wordWrap/>
        <w:overflowPunct/>
        <w:topLinePunct w:val="0"/>
        <w:autoSpaceDE/>
        <w:autoSpaceDN/>
        <w:bidi w:val="0"/>
        <w:adjustRightInd/>
        <w:snapToGrid/>
        <w:spacing w:line="360" w:lineRule="auto"/>
        <w:ind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4、承包人在施工期间办理施工临时用水、用电手续及相关全部费用（包括但不限于水、电接入口及从接入口接入施工现场的费用），安全文明标识、标牌及宣传费用；</w:t>
      </w:r>
    </w:p>
    <w:p>
      <w:pPr>
        <w:keepNext w:val="0"/>
        <w:keepLines w:val="0"/>
        <w:pageBreakBefore w:val="0"/>
        <w:widowControl/>
        <w:kinsoku/>
        <w:wordWrap/>
        <w:overflowPunct/>
        <w:topLinePunct w:val="0"/>
        <w:autoSpaceDE/>
        <w:autoSpaceDN/>
        <w:bidi w:val="0"/>
        <w:adjustRightInd/>
        <w:snapToGrid/>
        <w:spacing w:line="360" w:lineRule="auto"/>
        <w:ind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5、工程所需要的临时用地手续的办理及相关的所有费用；</w:t>
      </w:r>
    </w:p>
    <w:p>
      <w:pPr>
        <w:keepNext w:val="0"/>
        <w:keepLines w:val="0"/>
        <w:pageBreakBefore w:val="0"/>
        <w:widowControl/>
        <w:kinsoku/>
        <w:wordWrap/>
        <w:overflowPunct/>
        <w:topLinePunct w:val="0"/>
        <w:autoSpaceDE/>
        <w:autoSpaceDN/>
        <w:bidi w:val="0"/>
        <w:adjustRightInd/>
        <w:snapToGrid/>
        <w:spacing w:line="360" w:lineRule="auto"/>
        <w:ind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6、承包人应自行预备发电机组自行发电，自备发电机的功率应与工程需用电力负荷相适应，确保施工期间能正常使用。不因停电、停水延误工期和额外增加费用。</w:t>
      </w:r>
    </w:p>
    <w:p>
      <w:pPr>
        <w:keepNext w:val="0"/>
        <w:keepLines w:val="0"/>
        <w:pageBreakBefore w:val="0"/>
        <w:widowControl/>
        <w:kinsoku/>
        <w:wordWrap/>
        <w:overflowPunct/>
        <w:topLinePunct w:val="0"/>
        <w:autoSpaceDE/>
        <w:autoSpaceDN/>
        <w:bidi w:val="0"/>
        <w:adjustRightInd/>
        <w:snapToGrid/>
        <w:spacing w:line="360" w:lineRule="auto"/>
        <w:ind w:firstLine="600" w:firstLineChars="200"/>
        <w:textAlignment w:val="auto"/>
        <w:rPr>
          <w:rFonts w:hint="eastAsia" w:ascii="方正仿宋_GBK" w:hAnsi="新宋体" w:eastAsia="方正仿宋_GBK" w:cstheme="minorBidi"/>
          <w:kern w:val="2"/>
          <w:sz w:val="30"/>
          <w:szCs w:val="30"/>
          <w:highlight w:val="none"/>
          <w:lang w:val="en-US" w:eastAsia="zh-CN" w:bidi="ar-SA"/>
        </w:rPr>
      </w:pPr>
      <w:r>
        <w:rPr>
          <w:rFonts w:hint="eastAsia" w:ascii="方正仿宋_GBK" w:hAnsi="新宋体" w:eastAsia="方正仿宋_GBK" w:cstheme="minorBidi"/>
          <w:kern w:val="2"/>
          <w:sz w:val="30"/>
          <w:szCs w:val="30"/>
          <w:highlight w:val="none"/>
          <w:lang w:val="en-US" w:eastAsia="zh-CN" w:bidi="ar-SA"/>
        </w:rPr>
        <w:t>（12）其余约定按招标文件要求执行。</w:t>
      </w:r>
      <w:bookmarkStart w:id="0" w:name="_GoBack"/>
      <w:bookmarkEnd w:id="0"/>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right="0" w:rightChars="0" w:firstLine="600" w:firstLineChars="200"/>
        <w:textAlignment w:val="auto"/>
        <w:rPr>
          <w:rFonts w:hint="eastAsia" w:ascii="方正仿宋_GBK" w:hAnsi="新宋体" w:eastAsia="方正仿宋_GBK" w:cstheme="minorBidi"/>
          <w:kern w:val="2"/>
          <w:sz w:val="30"/>
          <w:szCs w:val="30"/>
          <w:highlight w:val="none"/>
          <w:lang w:val="en-US" w:eastAsia="zh-CN" w:bidi="ar-SA"/>
        </w:rPr>
      </w:pP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right="0" w:rightChars="0" w:firstLine="600" w:firstLineChars="200"/>
        <w:textAlignment w:val="auto"/>
        <w:rPr>
          <w:rFonts w:hint="default" w:ascii="方正仿宋_GBK" w:hAnsi="新宋体" w:eastAsia="方正仿宋_GBK" w:cstheme="minorBidi"/>
          <w:kern w:val="2"/>
          <w:sz w:val="30"/>
          <w:szCs w:val="30"/>
          <w:highlight w:val="none"/>
          <w:lang w:val="en-US" w:eastAsia="zh-CN" w:bidi="ar-S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script"/>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BlMWNjZTEzMzMwZjZlMWQ1YWY5NzExMDVhMWI0ZDEifQ=="/>
  </w:docVars>
  <w:rsids>
    <w:rsidRoot w:val="60EB6B06"/>
    <w:rsid w:val="01915344"/>
    <w:rsid w:val="0608614E"/>
    <w:rsid w:val="0D717B97"/>
    <w:rsid w:val="0E9C5BBD"/>
    <w:rsid w:val="0F4A072F"/>
    <w:rsid w:val="115E27CF"/>
    <w:rsid w:val="16CA6536"/>
    <w:rsid w:val="16D118CB"/>
    <w:rsid w:val="185A23AA"/>
    <w:rsid w:val="19CB00F9"/>
    <w:rsid w:val="1B4124C7"/>
    <w:rsid w:val="1CB71B0E"/>
    <w:rsid w:val="1DA63A8B"/>
    <w:rsid w:val="1F6D0ABB"/>
    <w:rsid w:val="2065698A"/>
    <w:rsid w:val="220628F4"/>
    <w:rsid w:val="26242014"/>
    <w:rsid w:val="29A97335"/>
    <w:rsid w:val="2B7E59F8"/>
    <w:rsid w:val="2D6F1C03"/>
    <w:rsid w:val="2EBC529A"/>
    <w:rsid w:val="2EC9013C"/>
    <w:rsid w:val="301976ED"/>
    <w:rsid w:val="30ED0270"/>
    <w:rsid w:val="3183157E"/>
    <w:rsid w:val="35AE0A28"/>
    <w:rsid w:val="3EEF192C"/>
    <w:rsid w:val="3FDB6616"/>
    <w:rsid w:val="420B2F87"/>
    <w:rsid w:val="43A41175"/>
    <w:rsid w:val="44862886"/>
    <w:rsid w:val="44907033"/>
    <w:rsid w:val="45752914"/>
    <w:rsid w:val="48F46570"/>
    <w:rsid w:val="49DA0324"/>
    <w:rsid w:val="49EC757D"/>
    <w:rsid w:val="4A083D49"/>
    <w:rsid w:val="50FF462F"/>
    <w:rsid w:val="549E34EA"/>
    <w:rsid w:val="56C9458B"/>
    <w:rsid w:val="570B25D2"/>
    <w:rsid w:val="57450EAB"/>
    <w:rsid w:val="5A79641A"/>
    <w:rsid w:val="5BCD52D8"/>
    <w:rsid w:val="5C8A2274"/>
    <w:rsid w:val="60512BA9"/>
    <w:rsid w:val="60EB6B06"/>
    <w:rsid w:val="65257EFA"/>
    <w:rsid w:val="65555DAE"/>
    <w:rsid w:val="6761322D"/>
    <w:rsid w:val="6A4B2212"/>
    <w:rsid w:val="6F880EBF"/>
    <w:rsid w:val="711016CA"/>
    <w:rsid w:val="71755E38"/>
    <w:rsid w:val="742A3E50"/>
    <w:rsid w:val="7BCF19D0"/>
    <w:rsid w:val="7BF70C79"/>
    <w:rsid w:val="7E1E1435"/>
    <w:rsid w:val="7F775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2108</Words>
  <Characters>2122</Characters>
  <Lines>0</Lines>
  <Paragraphs>0</Paragraphs>
  <TotalTime>8</TotalTime>
  <ScaleCrop>false</ScaleCrop>
  <LinksUpToDate>false</LinksUpToDate>
  <CharactersWithSpaces>2129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2021-11-09T00:46:00Z</dcterms:created>
  <dc:creator>Administrator</dc:creator>
  <cp:lastModifiedBy>Eca、小颖</cp:lastModifiedBy>
  <dcterms:modified xsi:type="dcterms:W3CDTF">2023-08-04T03:34:56Z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3603D09C92174379B33F3B952AD2C316</vt:lpwstr>
  </property>
</Properties>
</file>